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5CB" w:rsidRDefault="008C700E">
      <w:pPr>
        <w:spacing w:after="106" w:line="259" w:lineRule="auto"/>
        <w:ind w:left="0" w:right="0" w:firstLine="0"/>
        <w:jc w:val="left"/>
      </w:pPr>
      <w:bookmarkStart w:id="0" w:name="_GoBack"/>
      <w:bookmarkEnd w:id="0"/>
      <w:r>
        <w:rPr>
          <w:b/>
          <w:sz w:val="36"/>
        </w:rPr>
        <w:t xml:space="preserve">Declaración de Accesibilidad </w:t>
      </w:r>
    </w:p>
    <w:p w:rsidR="007015CB" w:rsidRDefault="008C700E">
      <w:pPr>
        <w:ind w:left="-5" w:right="0"/>
      </w:pPr>
      <w:r>
        <w:t>Internet es una herramienta indispensable para combatir la inequidad y para acelerar el desarrollo sostenible, por lo que asegurar el acceso universal a esta herramienta es y seguirá siendo una prioridad para el Sistema Nacional para el Desarrollo Integral</w:t>
      </w:r>
      <w:r>
        <w:t xml:space="preserve"> de la Familia (SNDIF), con el objetivo de que la información de la web siempre pueda ser consultada de un modo significativo por todos los sectores de la población. </w:t>
      </w:r>
    </w:p>
    <w:p w:rsidR="007015CB" w:rsidRDefault="008C700E">
      <w:pPr>
        <w:ind w:left="-5" w:right="0"/>
      </w:pPr>
      <w:r>
        <w:t>Este sitio se ha revisado con el objetivo de facilitar el acceso universal para todas las</w:t>
      </w:r>
      <w:r>
        <w:t xml:space="preserve"> personas que lo consulten, independientemente de sus capacidades físicas, sensoriales o intelectuales, así como del contexto técnico de su uso (tipo de dispositivo, programa informático, velocidad de la conexión, condiciones ambientales, etc.). </w:t>
      </w:r>
    </w:p>
    <w:p w:rsidR="007015CB" w:rsidRDefault="008C700E">
      <w:pPr>
        <w:ind w:left="-5" w:right="0"/>
      </w:pPr>
      <w:r>
        <w:t>La accesi</w:t>
      </w:r>
      <w:r>
        <w:t xml:space="preserve">bilidad web engloba a personas con diferentes discapacidades: visual, auditiva, motora, cognitiva o neurológica, así como a adultos mayores y personas poco familiarizadas con el uso de internet. </w:t>
      </w:r>
    </w:p>
    <w:p w:rsidR="007015CB" w:rsidRDefault="008C700E">
      <w:pPr>
        <w:spacing w:after="249" w:line="259" w:lineRule="auto"/>
        <w:ind w:left="0" w:right="0" w:firstLine="0"/>
        <w:jc w:val="left"/>
      </w:pPr>
      <w:r>
        <w:t xml:space="preserve"> </w:t>
      </w:r>
    </w:p>
    <w:p w:rsidR="007015CB" w:rsidRDefault="008C700E">
      <w:pPr>
        <w:ind w:left="-5" w:right="0"/>
      </w:pPr>
      <w:r>
        <w:t xml:space="preserve">Pautas de Accesibilidad:  </w:t>
      </w:r>
    </w:p>
    <w:p w:rsidR="007015CB" w:rsidRDefault="008C700E">
      <w:pPr>
        <w:ind w:left="-5" w:right="0"/>
      </w:pPr>
      <w:r>
        <w:t>Continuamos trabajando con el o</w:t>
      </w:r>
      <w:r>
        <w:t>bjetivo de adaptarlo a las recomendaciones del Consorcio Mundial de la Web (W3C). Dichas recomendaciones se establecen en las Pautas de Accesibilidad al Contenido de la Web (WCAG) en su versión 2.0, las cuales son referidas en el Acuerdo por el que se esta</w:t>
      </w:r>
      <w:r>
        <w:t xml:space="preserve">blecen las Disposiciones Generales de Accesibilidad Web que deben observar las áreas que conforman el Sistema Nacional para el Desarrollo Integral de la Familia. </w:t>
      </w:r>
    </w:p>
    <w:p w:rsidR="007015CB" w:rsidRDefault="008C700E">
      <w:pPr>
        <w:numPr>
          <w:ilvl w:val="0"/>
          <w:numId w:val="1"/>
        </w:numPr>
        <w:ind w:right="0" w:hanging="360"/>
      </w:pPr>
      <w:r>
        <w:t xml:space="preserve">Las imágenes que transmiten información </w:t>
      </w:r>
      <w:proofErr w:type="gramStart"/>
      <w:r>
        <w:t>relevante,</w:t>
      </w:r>
      <w:proofErr w:type="gramEnd"/>
      <w:r>
        <w:t xml:space="preserve"> cuentan con textos alternativos equivalent</w:t>
      </w:r>
      <w:r>
        <w:t xml:space="preserve">es. </w:t>
      </w:r>
    </w:p>
    <w:p w:rsidR="007015CB" w:rsidRDefault="008C700E">
      <w:pPr>
        <w:numPr>
          <w:ilvl w:val="0"/>
          <w:numId w:val="1"/>
        </w:numPr>
        <w:ind w:right="0" w:hanging="360"/>
      </w:pPr>
      <w:r>
        <w:t xml:space="preserve">Los videos pregrabados ofrecen una descripción textual o auditiva. </w:t>
      </w:r>
    </w:p>
    <w:p w:rsidR="007015CB" w:rsidRDefault="008C700E">
      <w:pPr>
        <w:numPr>
          <w:ilvl w:val="0"/>
          <w:numId w:val="1"/>
        </w:numPr>
        <w:ind w:right="0" w:hanging="360"/>
      </w:pPr>
      <w:r>
        <w:t xml:space="preserve">Los enlaces, íconos y botones cuentan con texto descriptivo. </w:t>
      </w:r>
    </w:p>
    <w:p w:rsidR="007015CB" w:rsidRDefault="008C700E">
      <w:pPr>
        <w:numPr>
          <w:ilvl w:val="0"/>
          <w:numId w:val="1"/>
        </w:numPr>
        <w:ind w:right="0" w:hanging="360"/>
      </w:pPr>
      <w:r>
        <w:t xml:space="preserve">El marcado semántico se utiliza apropiadamente. </w:t>
      </w:r>
    </w:p>
    <w:p w:rsidR="007015CB" w:rsidRDefault="008C700E">
      <w:pPr>
        <w:numPr>
          <w:ilvl w:val="0"/>
          <w:numId w:val="1"/>
        </w:numPr>
        <w:ind w:right="0" w:hanging="360"/>
      </w:pPr>
      <w:r>
        <w:t xml:space="preserve">Los formularios cuentan con descripciones claras. </w:t>
      </w:r>
    </w:p>
    <w:p w:rsidR="007015CB" w:rsidRDefault="008C700E">
      <w:pPr>
        <w:numPr>
          <w:ilvl w:val="0"/>
          <w:numId w:val="1"/>
        </w:numPr>
        <w:ind w:right="0" w:hanging="360"/>
      </w:pPr>
      <w:r>
        <w:t>Los contenidos en mov</w:t>
      </w:r>
      <w:r>
        <w:t xml:space="preserve">imiento se pueden controlar por el usuario. </w:t>
      </w:r>
    </w:p>
    <w:p w:rsidR="007015CB" w:rsidRDefault="008C700E">
      <w:pPr>
        <w:numPr>
          <w:ilvl w:val="0"/>
          <w:numId w:val="1"/>
        </w:numPr>
        <w:ind w:right="0" w:hanging="360"/>
      </w:pPr>
      <w:r>
        <w:t xml:space="preserve">El sitio es navegable utilizando el teclado. </w:t>
      </w:r>
    </w:p>
    <w:p w:rsidR="007015CB" w:rsidRDefault="008C700E">
      <w:pPr>
        <w:numPr>
          <w:ilvl w:val="0"/>
          <w:numId w:val="1"/>
        </w:numPr>
        <w:ind w:right="0" w:hanging="360"/>
      </w:pPr>
      <w:r>
        <w:t xml:space="preserve">Los contrastes de color son adecuados. </w:t>
      </w:r>
    </w:p>
    <w:p w:rsidR="007015CB" w:rsidRDefault="008C700E">
      <w:pPr>
        <w:numPr>
          <w:ilvl w:val="0"/>
          <w:numId w:val="1"/>
        </w:numPr>
        <w:ind w:right="0" w:hanging="360"/>
      </w:pPr>
      <w:r>
        <w:lastRenderedPageBreak/>
        <w:t xml:space="preserve">La estructura del sitio y sus niveles de encabezados son comprensibles y predecibles. </w:t>
      </w:r>
    </w:p>
    <w:p w:rsidR="007015CB" w:rsidRDefault="008C700E">
      <w:pPr>
        <w:numPr>
          <w:ilvl w:val="0"/>
          <w:numId w:val="1"/>
        </w:numPr>
        <w:ind w:right="0" w:hanging="360"/>
      </w:pPr>
      <w:r>
        <w:t>El sitio es compatible con herramienta</w:t>
      </w:r>
      <w:r>
        <w:t xml:space="preserve">s de asistencia tecnológica utilizadas por personas con discapacidad. </w:t>
      </w:r>
    </w:p>
    <w:p w:rsidR="007015CB" w:rsidRDefault="008C700E">
      <w:pPr>
        <w:numPr>
          <w:ilvl w:val="0"/>
          <w:numId w:val="1"/>
        </w:numPr>
        <w:ind w:right="0" w:hanging="360"/>
      </w:pPr>
      <w:r>
        <w:t xml:space="preserve">El sitio es compatible con tecnologías utilizadas por los usuarios, como versiones y tipos de navegadores web (Internet Explorer, Google Chrome, Firefox, Safari, Edge). </w:t>
      </w:r>
    </w:p>
    <w:p w:rsidR="007015CB" w:rsidRDefault="008C700E">
      <w:pPr>
        <w:ind w:left="-5" w:right="0"/>
      </w:pPr>
      <w:r>
        <w:t>Debido a que es</w:t>
      </w:r>
      <w:r>
        <w:t xml:space="preserve">te sitio es de amplia cobertura y gradualmente integra información de las áreas generadoras de contenidos, es responsabilidad de éstas cumplir con las pautas de accesibilidad en los contenidos que se integren. </w:t>
      </w:r>
    </w:p>
    <w:p w:rsidR="007015CB" w:rsidRDefault="008C700E">
      <w:pPr>
        <w:ind w:left="-5" w:right="0"/>
      </w:pPr>
      <w:r>
        <w:t xml:space="preserve">Estándar de Accesibilidad: WCAG 2.0. </w:t>
      </w:r>
    </w:p>
    <w:p w:rsidR="007015CB" w:rsidRDefault="008C700E">
      <w:pPr>
        <w:ind w:left="-5" w:right="0"/>
      </w:pPr>
      <w:r>
        <w:t>Nivel d</w:t>
      </w:r>
      <w:r>
        <w:t xml:space="preserve">e conformidad:  </w:t>
      </w:r>
    </w:p>
    <w:p w:rsidR="007015CB" w:rsidRDefault="008C700E">
      <w:pPr>
        <w:ind w:left="-5" w:right="0"/>
      </w:pPr>
      <w:r>
        <w:t xml:space="preserve">Trabajamos para dar cumplimiento al nivel de conformidad AA de las Pautas de Accesibilidad para el Contenido Web (WCAG) 2.0. </w:t>
      </w:r>
    </w:p>
    <w:p w:rsidR="007015CB" w:rsidRDefault="008C700E">
      <w:pPr>
        <w:spacing w:after="120" w:line="374" w:lineRule="auto"/>
        <w:ind w:left="-5" w:right="0"/>
      </w:pPr>
      <w:r>
        <w:t xml:space="preserve">En la siguiente liga puedes consultar las Pautas de Accesibilidad para el Contenido Web (WCAG) 2.0: </w:t>
      </w:r>
      <w:r>
        <w:rPr>
          <w:color w:val="1122CC"/>
          <w:u w:val="single" w:color="1122CC"/>
        </w:rPr>
        <w:t>http://www.w3.org/TR/2008/REC-</w:t>
      </w:r>
      <w:r>
        <w:rPr>
          <w:color w:val="1122CC"/>
          <w:u w:val="single" w:color="1122CC"/>
        </w:rPr>
        <w:t>WCAG20-20081211/.</w:t>
      </w:r>
      <w:r>
        <w:t xml:space="preserve"> </w:t>
      </w:r>
    </w:p>
    <w:p w:rsidR="007015CB" w:rsidRDefault="008C700E">
      <w:pPr>
        <w:ind w:left="-5" w:right="0"/>
      </w:pPr>
      <w:r>
        <w:t xml:space="preserve">Las tecnologías utilizadas compatibles con la accesibilidad de las que se depende para acceder al sitio son: HTML y CSS. </w:t>
      </w:r>
    </w:p>
    <w:p w:rsidR="007015CB" w:rsidRDefault="008C700E">
      <w:pPr>
        <w:spacing w:after="9" w:line="259" w:lineRule="auto"/>
        <w:ind w:left="0" w:right="0" w:firstLine="0"/>
        <w:jc w:val="left"/>
      </w:pPr>
      <w:r>
        <w:rPr>
          <w:b/>
        </w:rPr>
        <w:t xml:space="preserve">Contacto: </w:t>
      </w:r>
      <w:r>
        <w:t xml:space="preserve"> </w:t>
      </w:r>
    </w:p>
    <w:p w:rsidR="007015CB" w:rsidRDefault="008C700E">
      <w:pPr>
        <w:ind w:left="-5" w:right="0"/>
      </w:pPr>
      <w:r>
        <w:t>Si encuentras algún problema o quieres hacer cualquier sugerencia relacionada con la accesibilidad de e</w:t>
      </w:r>
      <w:r>
        <w:t xml:space="preserve">ste sitio web, por favor, contáctanos a través del correo electrónico </w:t>
      </w:r>
      <w:r>
        <w:rPr>
          <w:color w:val="0000FF"/>
          <w:u w:val="single" w:color="0000FF"/>
        </w:rPr>
        <w:t>webmaster@dif.gob.mx</w:t>
      </w:r>
      <w:r>
        <w:t xml:space="preserve">.  </w:t>
      </w:r>
    </w:p>
    <w:p w:rsidR="007015CB" w:rsidRDefault="008C700E">
      <w:pPr>
        <w:ind w:left="-5" w:right="2799"/>
      </w:pPr>
      <w:r>
        <w:t xml:space="preserve">Fecha de publicación de la declaración de accesibilidad:  08 de julio de 2016. </w:t>
      </w:r>
    </w:p>
    <w:p w:rsidR="007015CB" w:rsidRDefault="008C700E">
      <w:pPr>
        <w:spacing w:after="217"/>
        <w:ind w:left="-5" w:right="1936"/>
      </w:pPr>
      <w:r>
        <w:t xml:space="preserve">Fecha de última actualización de la declaración de accesibilidad:  08 de julio de </w:t>
      </w:r>
      <w:r>
        <w:t xml:space="preserve">2016. </w:t>
      </w:r>
    </w:p>
    <w:p w:rsidR="007015CB" w:rsidRDefault="008C700E">
      <w:pPr>
        <w:spacing w:after="0" w:line="259" w:lineRule="auto"/>
        <w:ind w:left="0" w:right="0" w:firstLine="0"/>
        <w:jc w:val="left"/>
      </w:pPr>
      <w:r>
        <w:rPr>
          <w:color w:val="000000"/>
        </w:rPr>
        <w:t xml:space="preserve"> </w:t>
      </w:r>
    </w:p>
    <w:sectPr w:rsidR="007015CB">
      <w:pgSz w:w="12240" w:h="15840"/>
      <w:pgMar w:top="1481" w:right="1698" w:bottom="188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C07FB"/>
    <w:multiLevelType w:val="hybridMultilevel"/>
    <w:tmpl w:val="9420FBFA"/>
    <w:lvl w:ilvl="0" w:tplc="4D46F95A">
      <w:start w:val="1"/>
      <w:numFmt w:val="bullet"/>
      <w:lvlText w:val="•"/>
      <w:lvlJc w:val="left"/>
      <w:pPr>
        <w:ind w:left="360"/>
      </w:pPr>
      <w:rPr>
        <w:rFonts w:ascii="Arial" w:eastAsia="Arial" w:hAnsi="Arial" w:cs="Arial"/>
        <w:b w:val="0"/>
        <w:i w:val="0"/>
        <w:strike w:val="0"/>
        <w:dstrike w:val="0"/>
        <w:color w:val="545454"/>
        <w:sz w:val="20"/>
        <w:szCs w:val="20"/>
        <w:u w:val="none" w:color="000000"/>
        <w:bdr w:val="none" w:sz="0" w:space="0" w:color="auto"/>
        <w:shd w:val="clear" w:color="auto" w:fill="auto"/>
        <w:vertAlign w:val="baseline"/>
      </w:rPr>
    </w:lvl>
    <w:lvl w:ilvl="1" w:tplc="8B0A6802">
      <w:start w:val="1"/>
      <w:numFmt w:val="bullet"/>
      <w:lvlText w:val="o"/>
      <w:lvlJc w:val="left"/>
      <w:pPr>
        <w:ind w:left="1080"/>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lvl w:ilvl="2" w:tplc="85A0D44C">
      <w:start w:val="1"/>
      <w:numFmt w:val="bullet"/>
      <w:lvlText w:val="▪"/>
      <w:lvlJc w:val="left"/>
      <w:pPr>
        <w:ind w:left="1800"/>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lvl w:ilvl="3" w:tplc="EC98328A">
      <w:start w:val="1"/>
      <w:numFmt w:val="bullet"/>
      <w:lvlText w:val="•"/>
      <w:lvlJc w:val="left"/>
      <w:pPr>
        <w:ind w:left="2520"/>
      </w:pPr>
      <w:rPr>
        <w:rFonts w:ascii="Arial" w:eastAsia="Arial" w:hAnsi="Arial" w:cs="Arial"/>
        <w:b w:val="0"/>
        <w:i w:val="0"/>
        <w:strike w:val="0"/>
        <w:dstrike w:val="0"/>
        <w:color w:val="545454"/>
        <w:sz w:val="20"/>
        <w:szCs w:val="20"/>
        <w:u w:val="none" w:color="000000"/>
        <w:bdr w:val="none" w:sz="0" w:space="0" w:color="auto"/>
        <w:shd w:val="clear" w:color="auto" w:fill="auto"/>
        <w:vertAlign w:val="baseline"/>
      </w:rPr>
    </w:lvl>
    <w:lvl w:ilvl="4" w:tplc="2BDE38AE">
      <w:start w:val="1"/>
      <w:numFmt w:val="bullet"/>
      <w:lvlText w:val="o"/>
      <w:lvlJc w:val="left"/>
      <w:pPr>
        <w:ind w:left="3240"/>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lvl w:ilvl="5" w:tplc="D84C7452">
      <w:start w:val="1"/>
      <w:numFmt w:val="bullet"/>
      <w:lvlText w:val="▪"/>
      <w:lvlJc w:val="left"/>
      <w:pPr>
        <w:ind w:left="3960"/>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lvl w:ilvl="6" w:tplc="F77840AE">
      <w:start w:val="1"/>
      <w:numFmt w:val="bullet"/>
      <w:lvlText w:val="•"/>
      <w:lvlJc w:val="left"/>
      <w:pPr>
        <w:ind w:left="4680"/>
      </w:pPr>
      <w:rPr>
        <w:rFonts w:ascii="Arial" w:eastAsia="Arial" w:hAnsi="Arial" w:cs="Arial"/>
        <w:b w:val="0"/>
        <w:i w:val="0"/>
        <w:strike w:val="0"/>
        <w:dstrike w:val="0"/>
        <w:color w:val="545454"/>
        <w:sz w:val="20"/>
        <w:szCs w:val="20"/>
        <w:u w:val="none" w:color="000000"/>
        <w:bdr w:val="none" w:sz="0" w:space="0" w:color="auto"/>
        <w:shd w:val="clear" w:color="auto" w:fill="auto"/>
        <w:vertAlign w:val="baseline"/>
      </w:rPr>
    </w:lvl>
    <w:lvl w:ilvl="7" w:tplc="D7FEAF88">
      <w:start w:val="1"/>
      <w:numFmt w:val="bullet"/>
      <w:lvlText w:val="o"/>
      <w:lvlJc w:val="left"/>
      <w:pPr>
        <w:ind w:left="5400"/>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lvl w:ilvl="8" w:tplc="6C28DC5E">
      <w:start w:val="1"/>
      <w:numFmt w:val="bullet"/>
      <w:lvlText w:val="▪"/>
      <w:lvlJc w:val="left"/>
      <w:pPr>
        <w:ind w:left="6120"/>
      </w:pPr>
      <w:rPr>
        <w:rFonts w:ascii="Segoe UI Symbol" w:eastAsia="Segoe UI Symbol" w:hAnsi="Segoe UI Symbol" w:cs="Segoe UI Symbol"/>
        <w:b w:val="0"/>
        <w:i w:val="0"/>
        <w:strike w:val="0"/>
        <w:dstrike w:val="0"/>
        <w:color w:val="545454"/>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CB"/>
    <w:rsid w:val="007015CB"/>
    <w:rsid w:val="008C7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9722A-C846-4DE8-9788-D6E0B371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63" w:lineRule="auto"/>
      <w:ind w:left="10" w:right="4" w:hanging="10"/>
      <w:jc w:val="both"/>
    </w:pPr>
    <w:rPr>
      <w:rFonts w:ascii="Calibri" w:eastAsia="Calibri" w:hAnsi="Calibri" w:cs="Calibri"/>
      <w:color w:val="54545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2864</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Rogelio Granillo Marruffo</dc:creator>
  <cp:keywords/>
  <cp:lastModifiedBy>Victor Rogelio Granillo Marruffo</cp:lastModifiedBy>
  <cp:revision>2</cp:revision>
  <dcterms:created xsi:type="dcterms:W3CDTF">2020-10-21T23:42:00Z</dcterms:created>
  <dcterms:modified xsi:type="dcterms:W3CDTF">2020-10-21T23:42:00Z</dcterms:modified>
</cp:coreProperties>
</file>